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zwei Holzdecks mit Rammpfahlgründung und Holzeindeck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